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天津医科大学总医院</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天津医科大学总医院</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为人民身体健康提供医疗与护理保健服务。主要业务范围：医疗与卫生、医学教育、医学研究、卫生技术人员继续教育、卫生医疗人员培训、保健与健康教育</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天津医科大学总医院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单位本级（内设22个职能处室）和2个所属单位（不含本级），具体构成如下：</w:t>
      </w:r>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1.天津医科大学总医院（本级）</w:t>
      </w:r>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2.天津市神经病学研究所</w:t>
      </w:r>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3.天津市肺癌研究所</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天津医科大学总医院</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172692642.96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69986400.00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526000.00</w:t>
            </w: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7644.97</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5153484037.73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1662106.77</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5307381189.33</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65226653.15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794500.00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5461389733.84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5310371441.07</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57571562.25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181516410.50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330388385.76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357461830.28</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330388385.76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5849349681.85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5849349681.85</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天津医科大学总医院</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5461389733.84</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242679042.96</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5153484037.73</w:t>
            </w: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65226653.15</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教育支出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526000.00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526000.00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普通教育</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526000.00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526000.00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2050299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其他普通教育支出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526000.00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526000.00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科学技术支出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7644.97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7644.97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20603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应用研究</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7644.97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7644.97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2060303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高技术研究</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7644.97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7644.97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1662106.77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1662106.77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人力资源和社会保障管理事务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1647106.77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1647106.77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2080116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引进人才费用</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1647106.77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1647106.77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2089999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5458399482.10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239688791.22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5153484037.73</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65226653.15</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5368527794.36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149817103.48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5153484037.73</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65226653.15</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综合医院</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5368527794.36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149817103.48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5153484037.73</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65226653.15</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公共卫生</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3897962.74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3897962.74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基本公共卫生服务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875000.00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875000.00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2100409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重大公共卫生服务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770292.74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770292.74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突发公共卫生事件应急处置</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1412670.00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1412670.00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其他公共卫生支出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840000.00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840000.00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14164000.00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14164000.00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9817000.00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9817000.00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其他行政事业单位医疗支出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4347000.00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4347000.00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21017</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中医药事务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1823325.00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1823325.00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2101704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中医（民族医）药专项</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1823325.00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1823325.00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21098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超长期特别国债安排的支出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69986400.00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69986400.00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2109801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69986400.00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69986400.00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债务付息支出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794500.00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794500.00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地方政府一般债务付息支出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794500.00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794500.00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2320301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地方政府一般债券付息支出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794500.00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794500.00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天津医科大学总医院</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5849349681.85</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5461389733.84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172692642.96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69986400.00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5153484037.73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65226653.15</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天津医科大学总医院</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5849349681.85</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5461389733.84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172692642.96</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69986400.00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5153484037.73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65226653.15</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天津医科大学总医院</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387959948.01</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387959948.01</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387959948.01</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天津医科大学总医院</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387959948.01</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387959948.01</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387959948.01</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天津医科大学总医院</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5310371441.07</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2384788304.41</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2925583136.66</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教育支出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526000.00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526000.00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普通教育</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526000.00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526000.00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2050299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其他普通教育支出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526000.00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526000.00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科学技术支出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7644.97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7644.97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20603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应用研究</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7644.97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7644.97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2060303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高技术研究</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7644.97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7644.97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1662106.77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1662106.77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人力资源和社会保障管理事务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1647106.77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1647106.77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2080116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引进人才费用</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1647106.77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1647106.77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2089999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5307381189.33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2384788304.41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2922592884.92</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公立医院</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5217509501.59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2370624304.41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2846885197.18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综合医院</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5217509501.59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2370624304.41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2846885197.18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公共卫生</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3897962.74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3897962.74</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基本公共卫生服务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875000.00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875000.00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2100409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重大公共卫生服务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770292.74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770292.74</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突发公共卫生事件应急处置</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1412670.00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1412670.00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其他公共卫生支出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840000.00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840000.00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14164000.00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14164000.00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9817000.00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9817000.00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其他行政事业单位医疗支出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4347000.00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4347000.00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21017</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中医药事务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1823325.00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1823325.00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2101704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中医（民族医）药专项</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1823325.00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1823325.00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21098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超长期特别国债安排的支出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69986400.00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69986400.00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2109801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公立医院</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69986400.00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69986400.00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债务付息支出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794500.00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794500.00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地方政府一般债务付息支出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794500.00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794500.00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2320301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地方政府一般债券付息支出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794500.00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794500.00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天津医科大学总医院</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172692642.96</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69986400.00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526000.00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526000.00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7644.97</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7644.97</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1662106.77</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1662106.77</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239688791.22</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169702391.22</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69986400.00</w:t>
            </w: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794500.00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794500.00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242679042.96</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242679042.96</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172692642.96</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69986400.00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242679042.96</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242679042.96</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172692642.96</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69986400.00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天津医科大学总医院</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172692642.96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94281374.80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91860374.80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2421000.00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78411268.16</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教育支出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526000.00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普通教育</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526000.00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其他普通教育支出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526000.00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科学技术支出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7644.97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7644.97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20603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应用研究</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7644.97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7644.97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2060303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高技术研究</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7644.97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7644.97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20604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技术研究与开发</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2060499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其他技术研究与开发支出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1662106.77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1662106.77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人力资源和社会保障管理事务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1647106.77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1647106.77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2080116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引进人才费用</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1647106.77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1647106.77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2089999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169702391.22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94281374.80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91860374.80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2421000.00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75421016.42</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公立医院</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149817103.48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80117374.80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77696374.80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2421000.00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69699728.68</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综合医院</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149817103.48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80117374.80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77696374.80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2421000.00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69699728.68</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公共卫生</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3897962.74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3897962.74</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基本公共卫生服务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875000.00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875000.00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重大公共卫生服务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770292.74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770292.74</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突发公共卫生事件应急处置</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1412670.00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1412670.00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其他公共卫生支出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840000.00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840000.00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14164000.00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14164000.00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14164000.00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9817000.00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9817000.00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9817000.00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其他行政事业单位医疗支出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4347000.00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4347000.00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4347000.00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中医药事务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1823325.00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1823325.00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中医（民族医）药专项</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1823325.00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1823325.00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债务付息支出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794500.00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794500.00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地方政府一般债务付息支出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794500.00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794500.00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地方政府一般债券付息支出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794500.00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794500.00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天津医科大学总医院</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77655000.00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2421000.00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41784000.00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23142000.00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9737000.00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2381000.00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794000.00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2198000.00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14205374.80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767625.56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11208749.24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2229000.00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91860374.80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2421000.00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天津医科大学总医院</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69986400.00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69986400.00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69986400.00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69986400.00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69986400.00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69986400.00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21098</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超长期特别国债安排的支出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69986400.00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69986400.00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69986400.00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2109801</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公立医院</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69986400.00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69986400.00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69986400.00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天津医科大学总医院</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天津医科大学总医院2025年度国有资本经营预算财政拨款收入支出决算表为空表。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天津医科大学总医院</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天津医科大学总医院2025年财政拨款“三公”经费支出决算表为空表。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天津医科大学总医院</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2925583136.66</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78411268.16</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69986400.00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2777185468.50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教育支出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526000.00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526000.00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普通教育</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526000.00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526000.00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其他普通教育支出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526000.00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526000.00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药品临床综合评价、干部保健巡诊等专项经费（2025年市级）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干部保健专项补助资金</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347000.00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347000.00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科学技术支出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7644.97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7644.97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20603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应用研究</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7644.97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7644.97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2060303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高技术研究</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7644.97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7644.97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2060303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2021年度天津市科技计划项目结转资金</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7644.97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7644.97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1662106.77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1662106.77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人力资源和社会保障管理事务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1647106.77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1647106.77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2080116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引进人才费用</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1647106.77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1647106.77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2080116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国家有关计划专家个人所得税优惠补贴</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397211.60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397211.60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其他社会保障和就业支出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2089999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其他社会保障和就业支出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2089999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离休干部一次性补助</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2922592884.92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75421016.42</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69986400.00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2777185468.50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2846885197.18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69699728.68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2777185468.50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综合医院</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2846885197.18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69699728.68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2777185468.50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精神卫生服务能力提升（心理门诊）——2025年第二批中央医疗服务与保障能力提升（医疗卫生机构能力建设）</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381000.00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381000.00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国家临床重点专科能力建设（2025年中央医疗服务与保障能力提升）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9207372.58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9207372.58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国家临床重点专科能力建设——2025年第二批中央医疗服务与保障能力提升（医疗卫生机构能力建设）</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紧缺人才培训（老年医学人才培训）（2025年中央医疗服务与保障能力提升）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558000.00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558000.00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紧缺人才培训（老年医学人才培训）——2025年第二批中央医疗服务与保障能力提升（卫生健康人才培养）</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62000.00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62000.00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国家临床重点专科能力建设-01直达资金-2024年医疗卫生机构能力建设</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4503584.96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4503584.96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天津市临床重点专科建设（2025年市级）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1973713.00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1973713.00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天津医科大学总医院新建门急诊综合楼项目（2025年一般债券）</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卫生健康质控中心管理（2025年市级）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481650.00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481650.00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县乡村卫生人才能力培训-01直达资金-2024年医疗服务与保障能力提升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19200.00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县乡村卫生人才能力培训——2025年第二批中央医疗服务与保障能力提升（卫生健康人才培养）</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10800.00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10800.00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卫生健康系统对口支援帮扶（2025年市级）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923885.00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923885.00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天津医科大学总医院病房改造提升项目-2024年一般债券</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1646000.00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1646000.00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紧缺人才培训（癌症早诊人员培训）-01直达资金-2024年医疗服务与保障能力提升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269992.25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269992.25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紧缺人才培训（癌症早诊人员培训）-01直达资金-2024年医疗服务与保障能力提升（第二批）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183377.60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183377.60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紧缺人才培训（癌症早诊人员培训）（2025年中央医疗服务与保障能力提升）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721548.30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721548.30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紧缺人才培训（癌症早诊人员培训）——2025年第二批中央医疗服务与保障能力提升（卫生健康人才培养）</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69500.00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69500.00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公立医院综合改革-01直达资金-2024年医疗服务与保障能力提升（第二批）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58800.00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58800.00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公立医院综合改革（2025年中央医疗服务与保障能力提升）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249000.00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249000.00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紧缺人才培训（临床药师（药师岗位培训））（2025年中央医疗服务与保障能力提升）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紧缺人才培训（临床药师培训）-01直达资金-2024年医疗服务与保障能力提升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53400.00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53400.00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紧缺人才培训（临床药师培养）——2025年第二批中央医疗服务与保障能力提升（卫生健康人才培养）</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45900.00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45900.00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危重新生儿救治中心建设-01直达资金-2024年医疗服务与保障能力提升（第四批）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2541565.50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2541565.50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住院医师规范化培训（2025年市级）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传染病监测预警与应急指挥能力提升（传染病四大症候群监测）—2025年中央医疗服务与保障能力提升（机构和人才）（第二批）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患者救治费用（2025年市级）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医科大学总医院检查及救治设施设备配置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7614400.00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7614400.00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住院医师规范化培训-01直达资金-2024年医疗服务与保障能力提升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1422700.00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1422700.00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住院医师规范化培训-01直达资金-2024年医疗服务与保障能力提升（第二批）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112000.00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112000.00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住院医师规范化培训（2025年中央医疗服务与保障能力提升）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3455239.49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3455239.49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住院医师规范化培训——2025年第二批中央医疗服务与保障能力提升（卫生健康人才培养）</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84100.00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84100.00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自有收入-药品耗材及资产购置（2025年）</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2649395130.01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2649395130.01</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自有收入-工程建设信息化及其他（2025年）</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127790338.49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127790338.49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公共卫生</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3897962.74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3897962.74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基本公共卫生服务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875000.00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875000.00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妇女儿童健康提升计划（2025年市级）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875000.00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875000.00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770292.74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770292.74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精神卫生和慢性非传染性病防治（癌症早诊早治）（2025年中央重大公共卫生服务）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精神卫生和慢性非传染性病防治（脑卒中筛查）（2024年中央重大传染病防控经费）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14300.00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14300.00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精神卫生和慢性非传染病防治（脑卒中筛查）（2024年中央重大传染病防控经费-第二批）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135355.24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135355.24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精神卫生和慢性非传染性病防治（脑卒中高危人群筛查和干预）（2025年中央重大公共卫生服务）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400637.50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400637.50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细菌性传染病监测（2025年中央重大公共卫生服务）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新冠变异监测-本土（2025年中央重大公共卫生服务）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133000.00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133000.00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重点传染病及健康危害因素监测（人禽、SARS等重点传染病监测）（2025年第二批重大公共卫生服务）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艾滋病防治（疾控）（2024年中央重大传染病防控经费）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重点呼吸道传染病监测（2025年中央重大公共卫生服务）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2100410</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突发公共卫生事件应急处置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1412670.00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1412670.00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2100410</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新冠患者救治费用（2025年市级）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402000.00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402000.00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2100410</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突发事件应急处置及应急能力提升（2025年市级）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1010670.00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1010670.00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其他公共卫生支出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妇女儿童健康提升计划（2025年市级残保金）</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840000.00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中医药事务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1823325.00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1823325.00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中医（民族医）药专项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1823325.00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1823325.00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中医药事业创新发展（2025年市级）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中医药事业创新发展（2025年市级）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233850.00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233850.00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2101704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中西医协同“旗舰”科室（2025年中央中医药事业传承与发展）</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1569475.00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1569475.00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21098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超长期特别国债安排的支出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69986400.00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69986400.00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794500.00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794500.00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794500.00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794500.00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地方政府一般债券付息支出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794500.00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794500.00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一般债券-天津医科大学总医院病房改造提升项目（2025年一般债付息）</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82000.00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82000.00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一般债券-天津医科大学总医院新建门急诊综合楼项目（2025年一般债付息）</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396000.00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396000.00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天津医科大学总医院新建门急诊综合楼项目（2025年一般债券付息）</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316500.00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316500.00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天津医科大学总医院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5,849,349,681.85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增加77,883,141.96元，增长1.35%</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增加政府性基金预算财政拨款收入及相应支出</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一般公共预算财政拨款收入172,692,642.96元、政府性基金预算财政拨款收入69,986,400.00元、事业收入5,153,484,037.73元、其他收入65,226,653.15元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教育支出526,000.00元、科学技术支出7,644.97元、社会保障和就业支出1,662,106.77元、卫生健康支出5,307,381,189.33元、债务付息支出794,500.00元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天津医科大学总医院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5,461,389,733.84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增加34,175,002.21元，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政府性基金预算财政拨款收入增加</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一般公共预算财政拨款收入172,692,642.96元，占3.16%；政府性基金预算财政拨款收入69,986,400.00元，占1.28%；事业收入5,153,484,037.73元，占94.36%；其他收入65,226,653.15元，占1.20%</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天津医科大学总医院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5,310,371,441.07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减少27,099,145.59元，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基本支出减少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基本支出2,384,788,304.41元，占44.91%；项目支出2,925,583,136.66元，占55.09%</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天津医科大学总医院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242,679,042.96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增加101,720,546.83元，增长72.16%，</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政府性基金预算财政拨款收入及相应支出增加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一般公共预算财政拨款172,692,642.96元、政府性基金预算财政拨款69,986,400.00元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教育支出526,000.00元、科学技术支出7,644.97元、社会保障和就业支出1,662,106.77元、卫生健康支出239,688,791.22元、债务付息支出794,500.00元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天津医科大学总医院2025年度一般公共预算财政拨款支出合计172,692,642.96元，占本年支出合计的3.25%。与2024年度相比，一般公共预算财政拨款支出</w:t>
      </w:r>
      <w:r>
        <w:rPr>
          <w:rFonts w:eastAsia="仿宋_GB2312" w:hint="eastAsia"/>
          <w:sz w:val="30"/>
          <w:szCs w:val="30"/>
          <w:highlight w:val="none"/>
          <w:lang w:val="en-US" w:eastAsia="zh-CN"/>
        </w:rPr>
        <w:t xml:space="preserve">增加31,734,146.83元</w:t>
      </w:r>
      <w:r>
        <w:rPr>
          <w:rFonts w:eastAsia="仿宋_GB2312" w:hint="eastAsia"/>
          <w:sz w:val="30"/>
          <w:szCs w:val="30"/>
          <w:highlight w:val="none"/>
          <w:lang w:val="en-US" w:eastAsia="zh-CN"/>
        </w:rPr>
        <w:t xml:space="preserve">，增长22.51%</w:t>
      </w:r>
      <w:r>
        <w:rPr>
          <w:rFonts w:eastAsia="仿宋_GB2312" w:hint="eastAsia"/>
          <w:sz w:val="30"/>
          <w:szCs w:val="30"/>
          <w:highlight w:val="none"/>
          <w:lang w:val="en-US" w:eastAsia="zh-CN"/>
        </w:rPr>
        <w:t xml:space="preserve">，主要原因是追加新建门急诊综合楼项目、医疗设备更新等项目支出。</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2025年度一般公共预算财政拨款支出172,692,642.96元，主要用于以下方面：</w:t>
      </w:r>
      <w:r>
        <w:rPr>
          <w:rFonts w:eastAsia="仿宋_GB2312" w:hint="eastAsia"/>
          <w:sz w:val="30"/>
          <w:szCs w:val="30"/>
          <w:highlight w:val="none"/>
        </w:rPr>
        <w:t xml:space="preserve">教育支出（类）支出526,000.00元，占0.30%，科学技术支出（类）支出7,644.97元，占0.01%，社会保障和就业支出（类）支出1,662,106.77元，占0.96%，卫生健康支出（类）支出169,702,391.22元，占98.27%，债务付息支出（类）支出794,500.00元，占0.46%</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2025年度一般公共预算财政拨款支出年初预算为157,018,036.59元，支出决算为172,692,642.96元</w:t>
      </w:r>
      <w:r>
        <w:rPr>
          <w:rFonts w:eastAsia="仿宋_GB2312" w:hint="eastAsia"/>
          <w:sz w:val="30"/>
          <w:szCs w:val="30"/>
          <w:highlight w:val="none"/>
          <w:lang w:val="en-US" w:eastAsia="zh-CN"/>
        </w:rPr>
        <w:t xml:space="preserve">，完成年初预算的109.98%</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教育支出（类）普通教育（款）其他普通教育支出（项）年初预算为529,000.00元，支出决算为526,000.00元，完成年初预算的99.43%，决算数小于年初预算数的主要原因是：根据实施方案执行，设备采购过程中，设备资金出现结余。</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2.科学技术支出（类）应用研究（款）高技术研究（项）年初预算为8,000.00元，支出决算为7,644.97元，完成年初预算的95.56%，决算数小于年初预算数的主要原因是：科研项目根据实施方案执行。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3.科学技术支出（类）技术研究与开发（款）其他技术研究与开发支出（项）年初预算为765,736.59元，支出决算为0.00元，决算数小于年初预算数的主要原因是：科研项目根据实施方案执行。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4.社会保障和就业支出（类）人力资源和社会保障管理事务（款）引进人才费用（项）年初预算为0.00元，支出决算为1,647,106.77元，决算数大于年初预算数的主要原因是：追加引进人才支出。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5.社会保障和就业支出（类）其他社会保障和就业支出（款）其他社会保障和就业支出（项）年初预算为0.00元，支出决算为15,000.00元，决算数大于年初预算数的主要原因是：追加离休干部一次性补助项目支出。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卫生健康支出（类）公立医院（款）综合医院（项）年初预算为135,097,100.00元，支出决算为149,817,103.48元，完成年初预算的110.90%，决算数大于年初预算数的主要原因是：追加新建门急诊综合楼项目、医疗设备更新项目等项目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7.卫生健康支出（类）公共卫生（款）基本公共卫生服务（项）年初预算为875,000.00元，支出决算为875,000.00元，完成年初预算的100.00%，决算数与年初预算数持平的主要原因是：严格按照预算执行。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8.卫生健康支出（类）公共卫生（款）重大公共卫生服务（项）年初预算为909,000.00元，支出决算为770,292.74元，完成年初预算的84.74%，决算数小于年初预算数的主要原因是：按照项目实施方案执行。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9.卫生健康支出（类）公共卫生（款）突发公共卫生事件应急处置（项）年初预算为1,492,000.00元，支出决算为1,412,670.00元，完成年初预算的94.68%，决算数小于年初预算数的主要原因是：按照项目实施方案执行。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10.卫生健康支出（类）公共卫生（款）其他公共卫生支出（项）年初预算为840,000.00元，支出决算为840,000.00元，完成年初预算的100.00%，决算数与年初预算数持平的主要原因是：严格按照预算执行。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11.卫生健康支出（类）行政事业单位医疗（款）事业单位医疗（项）年初预算为9,817,000.00元，支出决算为9,817,000.00元，完成年初预算的100.00%，决算数与年初预算数持平的主要原因是：严格按照预算执行。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12.卫生健康支出（类）行政事业单位医疗（款）其他行政事业单位医疗支出（项）年初预算为4,347,000.00元，支出决算为4,347,000.00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13.卫生健康支出（类）中医药事务（款）中医（民族医）药专项（项）年初预算为1,860,200.00元，支出决算为1,823,325.00元，完成年初预算的98.02%，决算数小于年初预算数的主要原因是：按照项目实施方案执行。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14.债务付息支出（类）地方政府一般债务付息支出（款）地方政府一般债券付息支出（项）年初预算为478,000.00元，支出决算为794,500.00元，完成年初预算的166.21%，决算数大于年初预算数的主要原因是：追加债务付息项目支出。</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天津医科大学总医院2025年度一般公共预算财政拨款基本支出合计94,281,374.80元，与2024年度相比</w:t>
      </w:r>
      <w:r>
        <w:rPr>
          <w:rFonts w:eastAsia="仿宋_GB2312" w:hint="eastAsia"/>
          <w:sz w:val="30"/>
          <w:szCs w:val="30"/>
          <w:highlight w:val="none"/>
          <w:lang w:val="en-US" w:eastAsia="zh-CN"/>
        </w:rPr>
        <w:t xml:space="preserve">减少1,869,225.20元，</w:t>
      </w:r>
      <w:r>
        <w:rPr>
          <w:rFonts w:eastAsia="仿宋_GB2312" w:hint="eastAsia"/>
          <w:sz w:val="30"/>
          <w:szCs w:val="30"/>
          <w:highlight w:val="none"/>
          <w:lang w:val="en-US" w:eastAsia="zh-CN"/>
        </w:rPr>
        <w:t xml:space="preserve">主要原因是人员经费减少。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人员经费91,860,374.80元，主要包括</w:t>
      </w:r>
      <w:r>
        <w:rPr>
          <w:rFonts w:eastAsia="仿宋_GB2312" w:hint="eastAsia"/>
          <w:sz w:val="30"/>
          <w:szCs w:val="30"/>
          <w:highlight w:val="none"/>
          <w:lang w:val="en-US" w:eastAsia="zh-CN"/>
        </w:rPr>
        <w:t xml:space="preserve">机关事业单位基本养老保险缴费、职业年金缴费、职工基本医疗保险缴费、其他社会保障缴费、医疗费、离休费、退休费、医疗费补助</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公用经费2,421,000.00元，主要包括</w:t>
      </w:r>
      <w:r>
        <w:rPr>
          <w:rFonts w:eastAsia="仿宋_GB2312" w:hint="eastAsia"/>
          <w:sz w:val="30"/>
          <w:szCs w:val="30"/>
          <w:highlight w:val="none"/>
          <w:lang w:val="en-US" w:eastAsia="zh-CN"/>
        </w:rPr>
        <w:t xml:space="preserve">物业管理费、其他商品和服务支出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天津医科大学总医院2025年度政府性基金预算财政拨款年初结转和结余0.00元，收入69,986,400.00元，支出69,986,400.00元，年末结转和结余0.00元。与2024年度相比，政府性基金预算财政拨款支出</w:t>
      </w:r>
      <w:r>
        <w:rPr>
          <w:rFonts w:eastAsia="仿宋_GB2312" w:hint="eastAsia"/>
          <w:sz w:val="30"/>
          <w:szCs w:val="30"/>
          <w:highlight w:val="none"/>
          <w:lang w:val="en-US" w:eastAsia="zh-CN"/>
        </w:rPr>
        <w:t xml:space="preserve">增加69,986,400.00元，</w:t>
      </w:r>
      <w:r>
        <w:rPr>
          <w:rFonts w:eastAsia="仿宋_GB2312" w:hint="eastAsia"/>
          <w:sz w:val="30"/>
          <w:szCs w:val="30"/>
          <w:highlight w:val="none"/>
          <w:lang w:val="en-US" w:eastAsia="zh-CN"/>
        </w:rPr>
        <w:t xml:space="preserve">主要原因是新增政府性基金预算财政拨款支出项目。</w:t>
      </w:r>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（二）支出结构情况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2025年度政府性基金预算财政拨款支出69,986,400.00元，主要用于以下方面：</w:t>
      </w:r>
      <w:r>
        <w:rPr>
          <w:rFonts w:eastAsia="仿宋_GB2312" w:hint="eastAsia"/>
          <w:sz w:val="28"/>
          <w:szCs w:val="28"/>
          <w:highlight w:val="none"/>
        </w:rPr>
        <w:t xml:space="preserve">卫生健康支出（类）支出69,986,400.00元，占100.00%</w:t>
      </w:r>
      <w:r>
        <w:rPr>
          <w:rFonts w:eastAsia="仿宋_GB2312" w:hint="eastAsia"/>
          <w:sz w:val="30"/>
          <w:szCs w:val="30"/>
          <w:highlight w:val="none"/>
          <w:lang w:val="en-US" w:eastAsia="zh-CN"/>
        </w:rPr>
        <w:t xml:space="preserve">。</w:t>
      </w:r>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2025年度政府性基金预算财政拨款支出年初预算为0.00元，支出决算为69,986,400.00元</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1.卫生健康支出（类）超长期特别国债安排的支出（款）公立医院（项）年初预算为0.00元，支出决算为69,986,400.00元，决算数大于年初预算数的主要原因是：追加医疗设备更新项目支出。</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天津医科大学总医院2025年度无国有资本经营预算财政拨款收入、支出和结转结余。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决算数较上年持平的主要原因是本年度未用财政拨款经费列支公务用车购置费及运行维护费。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天津医科大学总医院2025年度无机关运行经费。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医科大学总医院2025年政府采购支出总额348,764,257.88元，其中：政府采购货物支出96,942,190.80元、政府采购工程支出50,127,030.00元、政府采购服务支出201,695,037.08元。授予中小企业合同金额236,795,858.88元，占政府采购支出总额的67.90%，其中：授予小微企业合同金额175,693,806.48元，占政府采购支出总额的50.38%；货物采购授予中小企业合同金额占货物支出金额的95.76%，工程采购授予中小企业合同金额占工程支出金额的6.50%，服务采购授予中小企业合同金额占服务支出金额的69.76%。</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截至2025年12月31日，天津医科大学总医院共有车辆6辆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机要通信用车1辆、特种专业技术用车2辆、其他用车3辆</w:t>
      </w:r>
      <w:r>
        <w:rPr>
          <w:rFonts w:eastAsia="仿宋_GB2312" w:hint="eastAsia"/>
          <w:sz w:val="30"/>
          <w:szCs w:val="30"/>
          <w:highlight w:val="none"/>
          <w:lang w:val="en-US" w:eastAsia="zh-CN"/>
        </w:rPr>
        <w:t xml:space="preserve">，其他用车主要包括业务用车</w:t>
      </w:r>
      <w:r>
        <w:rPr>
          <w:rFonts w:eastAsia="仿宋_GB2312" w:hint="eastAsia"/>
          <w:sz w:val="30"/>
          <w:szCs w:val="30"/>
          <w:highlight w:val="none"/>
          <w:lang w:val="en-US" w:eastAsia="zh-CN"/>
        </w:rPr>
        <w:t xml:space="preserve">。单价100万元以上的设备360台（套）。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根据预算绩效管理要求，天津医科大学总医院已对22个2025年度市级项目开展绩效自评，涉及金额3,656,107,756.57元，自评结果已随部门决算一并公开。</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天津医科大学总医院不属于乡、镇、街级单位，不涉及公开2025年度教育、医疗卫生、社会保障和就业、住房保障、涉农补贴等民生支出情况。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C74CBAF1-5BB0-420D-97FD-73F87FFE5E1F}"/>
    <w:embedBold r:id="rId2" w:subsetted="1" w:fontKey="{672C9E3A-66BA-4E48-B526-66DF41D8A59C}"/>
  </w:font>
  <w:font w:name="Cambria">
    <w:panose1 w:val="02040503050406030204"/>
    <w:charset w:val="00"/>
    <w:family w:val="roman"/>
    <w:pitch w:val="default"/>
    <w:sig w:usb0="E00006FF" w:usb1="420024FF" w:usb2="02000000" w:usb3="00000000" w:csb0="2000019F" w:csb1="00000000"/>
    <w:embedRegular r:id="rId3" w:fontKey="{3B21D9A7-E28D-49FB-87EB-2499F0850A5E}"/>
  </w:font>
  <w:font w:name="Calibri">
    <w:panose1 w:val="020F0502020204030204"/>
    <w:charset w:val="00"/>
    <w:family w:val="swiss"/>
    <w:pitch w:val="default"/>
    <w:sig w:usb0="E4002EFF" w:usb1="C200247B" w:usb2="00000009" w:usb3="00000000" w:csb0="200001FF" w:csb1="00000000"/>
    <w:embedRegular r:id="rId4" w:fontKey="{6EBBB4A2-034F-4029-9676-4C4F08A513E3}"/>
  </w:font>
  <w:font w:name="黑体">
    <w:panose1 w:val="02010609060101010101"/>
    <w:charset w:val="FFFFFF86"/>
    <w:family w:val="auto"/>
    <w:pitch w:val="default"/>
    <w:sig w:usb0="800002BF" w:usb1="38CF7CFA" w:usb2="00000016" w:usb3="00000000" w:csb0="00040001" w:csb1="00000000"/>
    <w:embedRegular r:id="rId5" w:subsetted="1" w:fontKey="{616D275D-53EE-4CF9-9DB5-506994D753C5}"/>
    <w:embedBold r:id="rId6" w:subsetted="1" w:fontKey="{ABCD6E1F-6F30-43A9-8E25-4E8CC9C92F49}"/>
  </w:font>
  <w:font w:name="方正小标宋简体">
    <w:altName w:val="黑体"/>
    <w:panose1 w:val="02000000000000000000"/>
    <w:charset w:val="FFFFFF86"/>
    <w:family w:val="auto"/>
    <w:pitch w:val="default"/>
    <w:sig w:usb0="00000001" w:usb1="08000000" w:usb2="00000000" w:usb3="00000000" w:csb0="00040000" w:csb1="00000000"/>
    <w:embedRegular r:id="rId7" w:fontKey="{7CABF23E-052D-4DAB-AB8E-57670C34A13C}"/>
    <w:embedBold r:id="rId8" w:fontKey="{74C9ACF2-EA27-48F7-B64F-D526C682FF4B}"/>
  </w:font>
  <w:font w:name="仿宋">
    <w:panose1 w:val="02010609060101010101"/>
    <w:charset w:val="FFFFFF86"/>
    <w:family w:val="auto"/>
    <w:pitch w:val="default"/>
    <w:sig w:usb0="800002BF" w:usb1="38CF7CFA" w:usb2="00000016" w:usb3="00000000" w:csb0="00040001" w:csb1="00000000"/>
    <w:embedRegular r:id="rId9" w:subsetted="1" w:fontKey="{2581953B-6FFF-460B-9705-239180C94239}"/>
  </w:font>
  <w:font w:name="方正仿宋_GB2312">
    <w:altName w:val="仿宋"/>
    <w:panose1 w:val="02000000000000000000"/>
    <w:charset w:val="FFFFFF86"/>
    <w:family w:val="auto"/>
    <w:pitch w:val="default"/>
    <w:sig w:usb0="A00002BF" w:usb1="184F6CFA" w:usb2="00000012" w:usb3="00000000" w:csb0="00040001" w:csb1="00000000"/>
    <w:embedRegular r:id="rId10" w:fontKey="{A321C043-26B2-48A6-8594-BF106E2A6217}"/>
  </w:font>
  <w:font w:name="仿宋_GB2312">
    <w:altName w:val="仿宋"/>
    <w:panose1 w:val="02010609030101010101"/>
    <w:charset w:val="FFFFFF86"/>
    <w:family w:val="auto"/>
    <w:pitch w:val="default"/>
    <w:sig w:usb0="00000001" w:usb1="080E0000" w:usb2="00000000" w:usb3="00000000" w:csb0="00040000" w:csb1="00000000"/>
    <w:embedRegular r:id="rId11" w:fontKey="{335FBB19-4726-486B-A9C6-EABAADAC5BB0}"/>
  </w:font>
  <w:font w:name="方正楷体_GB2312">
    <w:altName w:val="宋体"/>
    <w:panose1 w:val="02000000000000000000"/>
    <w:charset w:val="FFFFFF86"/>
    <w:family w:val="auto"/>
    <w:pitch w:val="default"/>
    <w:sig w:usb0="A00002BF" w:usb1="184F6CFA" w:usb2="00000012" w:usb3="00000000" w:csb0="00040001" w:csb1="00000000"/>
    <w:embedRegular r:id="rId12" w:fontKey="{DFD98CCD-626E-4877-A44B-C2A69B20D0D8}"/>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3" w:subsetted="1" w:fontKey="{00FF1A17-A849-4230-9FD0-FEC2DB06EDB1}"/>
    <w:embedBold r:id="rId14" w:subsetted="1" w:fontKey="{56C60194-1279-4567-9753-972CF521BA3B}"/>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8</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29</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39</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14" Type="http://schemas.openxmlformats.org/officeDocument/2006/relationships/font" Target="fonts/font13.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42</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