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064B" w14:textId="0A300D2A" w:rsidR="005811E0" w:rsidRPr="00730996" w:rsidRDefault="00716AFA" w:rsidP="004B0827">
      <w:pPr>
        <w:jc w:val="center"/>
        <w:rPr>
          <w:rFonts w:ascii="宋体" w:eastAsia="宋体" w:hAnsi="宋体" w:hint="eastAsia"/>
          <w:sz w:val="28"/>
          <w:szCs w:val="32"/>
        </w:rPr>
      </w:pPr>
      <w:r w:rsidRPr="00730996">
        <w:rPr>
          <w:rFonts w:ascii="宋体" w:eastAsia="宋体" w:hAnsi="宋体" w:hint="eastAsia"/>
          <w:sz w:val="28"/>
          <w:szCs w:val="32"/>
        </w:rPr>
        <w:t>天津医科大学总医院</w:t>
      </w:r>
      <w:r w:rsidR="006717C4" w:rsidRPr="00730996">
        <w:rPr>
          <w:rFonts w:ascii="宋体" w:eastAsia="宋体" w:hAnsi="宋体" w:hint="eastAsia"/>
          <w:sz w:val="28"/>
          <w:szCs w:val="32"/>
        </w:rPr>
        <w:t>仪器设备维保服务中心</w:t>
      </w:r>
      <w:r w:rsidRPr="00730996">
        <w:rPr>
          <w:rFonts w:ascii="宋体" w:eastAsia="宋体" w:hAnsi="宋体" w:hint="eastAsia"/>
          <w:sz w:val="28"/>
          <w:szCs w:val="32"/>
        </w:rPr>
        <w:t>维保服务内容</w:t>
      </w:r>
      <w:r w:rsidR="00AE731F" w:rsidRPr="00730996">
        <w:rPr>
          <w:rFonts w:ascii="宋体" w:eastAsia="宋体" w:hAnsi="宋体" w:hint="eastAsia"/>
          <w:sz w:val="28"/>
          <w:szCs w:val="32"/>
        </w:rPr>
        <w:t>确认</w:t>
      </w:r>
      <w:r w:rsidRPr="00730996">
        <w:rPr>
          <w:rFonts w:ascii="宋体" w:eastAsia="宋体" w:hAnsi="宋体" w:hint="eastAsia"/>
          <w:sz w:val="28"/>
          <w:szCs w:val="32"/>
        </w:rPr>
        <w:t>表</w:t>
      </w:r>
    </w:p>
    <w:tbl>
      <w:tblPr>
        <w:tblStyle w:val="a3"/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2851"/>
        <w:gridCol w:w="3235"/>
        <w:gridCol w:w="5327"/>
      </w:tblGrid>
      <w:tr w:rsidR="00730996" w:rsidRPr="00717E53" w14:paraId="61F29558" w14:textId="77777777" w:rsidTr="00730996">
        <w:trPr>
          <w:trHeight w:val="397"/>
        </w:trPr>
        <w:tc>
          <w:tcPr>
            <w:tcW w:w="2851" w:type="dxa"/>
            <w:vAlign w:val="center"/>
          </w:tcPr>
          <w:p w14:paraId="128456E6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公司名称：</w:t>
            </w:r>
          </w:p>
        </w:tc>
        <w:tc>
          <w:tcPr>
            <w:tcW w:w="8562" w:type="dxa"/>
            <w:gridSpan w:val="2"/>
            <w:vAlign w:val="center"/>
          </w:tcPr>
          <w:p w14:paraId="7A066235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730996" w:rsidRPr="00717E53" w14:paraId="4BEC218A" w14:textId="77777777" w:rsidTr="00730996">
        <w:trPr>
          <w:trHeight w:val="397"/>
        </w:trPr>
        <w:tc>
          <w:tcPr>
            <w:tcW w:w="2851" w:type="dxa"/>
            <w:vMerge w:val="restart"/>
            <w:vAlign w:val="center"/>
          </w:tcPr>
          <w:p w14:paraId="3258482E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公司类型：</w:t>
            </w:r>
          </w:p>
        </w:tc>
        <w:tc>
          <w:tcPr>
            <w:tcW w:w="8562" w:type="dxa"/>
            <w:gridSpan w:val="2"/>
            <w:vAlign w:val="center"/>
          </w:tcPr>
          <w:p w14:paraId="7FD5E62C" w14:textId="77777777" w:rsidR="00730996" w:rsidRPr="00730996" w:rsidRDefault="00730996" w:rsidP="00730996">
            <w:pPr>
              <w:ind w:firstLineChars="800" w:firstLine="144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设备原厂    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原厂授权    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第三方</w:t>
            </w:r>
          </w:p>
        </w:tc>
      </w:tr>
      <w:tr w:rsidR="00730996" w:rsidRPr="00717E53" w14:paraId="2AFA77DC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3CCF9934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2" w:type="dxa"/>
            <w:gridSpan w:val="2"/>
            <w:vAlign w:val="center"/>
          </w:tcPr>
          <w:p w14:paraId="03353337" w14:textId="77777777" w:rsidR="00730996" w:rsidRPr="00730996" w:rsidRDefault="00730996" w:rsidP="00730996">
            <w:pPr>
              <w:ind w:firstLineChars="800" w:firstLine="144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大型企业    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中小企业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小</w:t>
            </w:r>
            <w:proofErr w:type="gramStart"/>
            <w:r w:rsidRPr="00730996">
              <w:rPr>
                <w:rFonts w:ascii="宋体" w:eastAsia="宋体" w:hAnsi="宋体" w:hint="eastAsia"/>
                <w:sz w:val="18"/>
                <w:szCs w:val="18"/>
              </w:rPr>
              <w:t>微企业</w:t>
            </w:r>
            <w:proofErr w:type="gramEnd"/>
          </w:p>
        </w:tc>
      </w:tr>
      <w:tr w:rsidR="00730996" w:rsidRPr="00717E53" w14:paraId="08ABF490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65D4F336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2" w:type="dxa"/>
            <w:gridSpan w:val="2"/>
            <w:vAlign w:val="center"/>
          </w:tcPr>
          <w:p w14:paraId="3583499E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国有企业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国有企业控股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私营企业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中外合资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外国独资</w:t>
            </w:r>
          </w:p>
        </w:tc>
      </w:tr>
      <w:tr w:rsidR="00730996" w:rsidRPr="00717E53" w14:paraId="4B2D20B8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47D1FAB3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2" w:type="dxa"/>
            <w:gridSpan w:val="2"/>
            <w:vAlign w:val="center"/>
          </w:tcPr>
          <w:p w14:paraId="5D8B7C51" w14:textId="77777777" w:rsidR="00730996" w:rsidRPr="00730996" w:rsidRDefault="00730996" w:rsidP="00730996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合资或外国独资企业须说明外资来源（国别）：</w:t>
            </w:r>
          </w:p>
        </w:tc>
      </w:tr>
      <w:tr w:rsidR="00730996" w:rsidRPr="00717E53" w14:paraId="58A59965" w14:textId="77777777" w:rsidTr="00730996">
        <w:trPr>
          <w:trHeight w:val="397"/>
        </w:trPr>
        <w:tc>
          <w:tcPr>
            <w:tcW w:w="2851" w:type="dxa"/>
            <w:vMerge w:val="restart"/>
            <w:vAlign w:val="center"/>
          </w:tcPr>
          <w:p w14:paraId="1D4CFEE6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服务响应</w:t>
            </w:r>
          </w:p>
        </w:tc>
        <w:tc>
          <w:tcPr>
            <w:tcW w:w="8562" w:type="dxa"/>
            <w:gridSpan w:val="2"/>
            <w:vAlign w:val="center"/>
          </w:tcPr>
          <w:p w14:paraId="2DDB7F0B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对科室报修电话的响应时效以及工程师到场的时限承诺</w:t>
            </w:r>
          </w:p>
        </w:tc>
      </w:tr>
      <w:tr w:rsidR="00730996" w:rsidRPr="00717E53" w14:paraId="36A858EB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63FA8DB5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5" w:type="dxa"/>
            <w:vAlign w:val="center"/>
          </w:tcPr>
          <w:p w14:paraId="1E1B46AD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电话响应</w:t>
            </w:r>
          </w:p>
        </w:tc>
        <w:tc>
          <w:tcPr>
            <w:tcW w:w="5327" w:type="dxa"/>
            <w:vAlign w:val="center"/>
          </w:tcPr>
          <w:p w14:paraId="1773203C" w14:textId="77777777" w:rsidR="00730996" w:rsidRPr="00730996" w:rsidRDefault="00730996" w:rsidP="00730996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30分钟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1小时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2小时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4小时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其它</w:t>
            </w:r>
            <w:r w:rsidRPr="00730996"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 </w:t>
            </w:r>
          </w:p>
        </w:tc>
      </w:tr>
      <w:tr w:rsidR="00730996" w:rsidRPr="00717E53" w14:paraId="784A826D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7367EEE8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5" w:type="dxa"/>
            <w:vAlign w:val="center"/>
          </w:tcPr>
          <w:p w14:paraId="75453BAE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工程师到场</w:t>
            </w:r>
          </w:p>
        </w:tc>
        <w:tc>
          <w:tcPr>
            <w:tcW w:w="5327" w:type="dxa"/>
            <w:vAlign w:val="center"/>
          </w:tcPr>
          <w:p w14:paraId="7C0F76B9" w14:textId="77777777" w:rsidR="00730996" w:rsidRPr="00730996" w:rsidRDefault="00730996" w:rsidP="00730996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2小时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4小时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8小时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24小时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其它</w:t>
            </w:r>
            <w:r w:rsidRPr="00730996"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 </w:t>
            </w:r>
          </w:p>
        </w:tc>
      </w:tr>
      <w:tr w:rsidR="00730996" w:rsidRPr="00717E53" w14:paraId="0048C9A4" w14:textId="77777777" w:rsidTr="00730996">
        <w:trPr>
          <w:trHeight w:val="397"/>
        </w:trPr>
        <w:tc>
          <w:tcPr>
            <w:tcW w:w="2851" w:type="dxa"/>
            <w:vMerge w:val="restart"/>
            <w:vAlign w:val="center"/>
          </w:tcPr>
          <w:p w14:paraId="5D7A8D1A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备件情况</w:t>
            </w:r>
          </w:p>
        </w:tc>
        <w:tc>
          <w:tcPr>
            <w:tcW w:w="8562" w:type="dxa"/>
            <w:gridSpan w:val="2"/>
            <w:vAlign w:val="center"/>
          </w:tcPr>
          <w:p w14:paraId="418401E0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约定合同期内更换备件的各类情况</w:t>
            </w:r>
          </w:p>
        </w:tc>
      </w:tr>
      <w:tr w:rsidR="00730996" w:rsidRPr="00717E53" w14:paraId="6EC53DD6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036C5533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5" w:type="dxa"/>
            <w:vAlign w:val="center"/>
          </w:tcPr>
          <w:p w14:paraId="6E0D36FB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备件种类</w:t>
            </w:r>
          </w:p>
        </w:tc>
        <w:tc>
          <w:tcPr>
            <w:tcW w:w="5327" w:type="dxa"/>
            <w:vAlign w:val="center"/>
          </w:tcPr>
          <w:p w14:paraId="0C031EE7" w14:textId="77777777" w:rsidR="00730996" w:rsidRPr="00730996" w:rsidRDefault="00730996" w:rsidP="00730996">
            <w:pPr>
              <w:ind w:firstLineChars="500" w:firstLine="90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原厂     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其它</w:t>
            </w:r>
            <w:r w:rsidRPr="00730996"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730996" w:rsidRPr="00717E53" w14:paraId="39C884E4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1FE2243E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5" w:type="dxa"/>
            <w:vAlign w:val="center"/>
          </w:tcPr>
          <w:p w14:paraId="41952EC6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备件类型</w:t>
            </w:r>
          </w:p>
        </w:tc>
        <w:tc>
          <w:tcPr>
            <w:tcW w:w="5327" w:type="dxa"/>
            <w:vAlign w:val="center"/>
          </w:tcPr>
          <w:p w14:paraId="13302A04" w14:textId="77777777" w:rsidR="00730996" w:rsidRPr="00730996" w:rsidRDefault="00730996" w:rsidP="00730996">
            <w:pPr>
              <w:ind w:firstLineChars="500" w:firstLine="90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全新备件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二次使用</w:t>
            </w:r>
          </w:p>
        </w:tc>
      </w:tr>
      <w:tr w:rsidR="00730996" w:rsidRPr="00717E53" w14:paraId="2B22058F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5C9EE376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5" w:type="dxa"/>
            <w:vAlign w:val="center"/>
          </w:tcPr>
          <w:p w14:paraId="56890E64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能否提供备用机</w:t>
            </w:r>
          </w:p>
        </w:tc>
        <w:tc>
          <w:tcPr>
            <w:tcW w:w="5327" w:type="dxa"/>
            <w:vAlign w:val="center"/>
          </w:tcPr>
          <w:p w14:paraId="62F9FB13" w14:textId="77777777" w:rsidR="00730996" w:rsidRPr="00730996" w:rsidRDefault="00730996" w:rsidP="00730996">
            <w:pPr>
              <w:ind w:firstLineChars="500" w:firstLine="90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可以    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其它</w:t>
            </w:r>
            <w:r w:rsidRPr="00730996"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730996" w:rsidRPr="00717E53" w14:paraId="464AD53C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533C09E0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2" w:type="dxa"/>
            <w:gridSpan w:val="2"/>
            <w:vAlign w:val="center"/>
          </w:tcPr>
          <w:p w14:paraId="4153C8CA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备件更换时限≤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天</w:t>
            </w:r>
          </w:p>
        </w:tc>
      </w:tr>
      <w:tr w:rsidR="00730996" w:rsidRPr="00717E53" w14:paraId="6A013DA1" w14:textId="77777777" w:rsidTr="00730996">
        <w:trPr>
          <w:trHeight w:val="397"/>
        </w:trPr>
        <w:tc>
          <w:tcPr>
            <w:tcW w:w="2851" w:type="dxa"/>
            <w:vMerge w:val="restart"/>
            <w:vAlign w:val="center"/>
          </w:tcPr>
          <w:p w14:paraId="3FE32F32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保养服务</w:t>
            </w:r>
          </w:p>
        </w:tc>
        <w:tc>
          <w:tcPr>
            <w:tcW w:w="8562" w:type="dxa"/>
            <w:gridSpan w:val="2"/>
            <w:vAlign w:val="center"/>
          </w:tcPr>
          <w:p w14:paraId="0996672F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每年对而后被进行保养、巡检等维护工作的承诺</w:t>
            </w:r>
          </w:p>
        </w:tc>
      </w:tr>
      <w:tr w:rsidR="00730996" w:rsidRPr="00717E53" w14:paraId="43806CB4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4CA6353C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5" w:type="dxa"/>
            <w:vAlign w:val="center"/>
          </w:tcPr>
          <w:p w14:paraId="1F552048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保养、巡检次数</w:t>
            </w:r>
          </w:p>
        </w:tc>
        <w:tc>
          <w:tcPr>
            <w:tcW w:w="5327" w:type="dxa"/>
            <w:vAlign w:val="center"/>
          </w:tcPr>
          <w:p w14:paraId="1FC429B3" w14:textId="77777777" w:rsidR="00730996" w:rsidRPr="00730996" w:rsidRDefault="00730996" w:rsidP="00730996">
            <w:pPr>
              <w:ind w:firstLineChars="500" w:firstLine="90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1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4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其它</w:t>
            </w:r>
            <w:r w:rsidRPr="00730996"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730996" w:rsidRPr="00717E53" w14:paraId="1A1A6FEC" w14:textId="77777777" w:rsidTr="00730996">
        <w:trPr>
          <w:trHeight w:val="397"/>
        </w:trPr>
        <w:tc>
          <w:tcPr>
            <w:tcW w:w="2851" w:type="dxa"/>
            <w:vMerge w:val="restart"/>
            <w:vAlign w:val="center"/>
          </w:tcPr>
          <w:p w14:paraId="30D70378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配合服务</w:t>
            </w:r>
          </w:p>
        </w:tc>
        <w:tc>
          <w:tcPr>
            <w:tcW w:w="3235" w:type="dxa"/>
            <w:vAlign w:val="center"/>
          </w:tcPr>
          <w:p w14:paraId="43ACD069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能否配合院方软件升级等一系列工作</w:t>
            </w:r>
          </w:p>
        </w:tc>
        <w:tc>
          <w:tcPr>
            <w:tcW w:w="5327" w:type="dxa"/>
            <w:vAlign w:val="center"/>
          </w:tcPr>
          <w:p w14:paraId="57C4205D" w14:textId="77777777" w:rsidR="00730996" w:rsidRPr="00730996" w:rsidRDefault="00730996" w:rsidP="00730996">
            <w:pPr>
              <w:ind w:firstLineChars="500" w:firstLine="90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可以配合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其它</w:t>
            </w:r>
            <w:r w:rsidRPr="00730996"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730996" w:rsidRPr="00717E53" w14:paraId="412AAC66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034465F0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5" w:type="dxa"/>
            <w:vAlign w:val="center"/>
          </w:tcPr>
          <w:p w14:paraId="72075A50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能否配合院方每年进行的相关质控工作</w:t>
            </w:r>
          </w:p>
        </w:tc>
        <w:tc>
          <w:tcPr>
            <w:tcW w:w="5327" w:type="dxa"/>
            <w:vAlign w:val="center"/>
          </w:tcPr>
          <w:p w14:paraId="1F209CC3" w14:textId="77777777" w:rsidR="00730996" w:rsidRPr="00730996" w:rsidRDefault="00730996" w:rsidP="00730996">
            <w:pPr>
              <w:ind w:firstLineChars="500" w:firstLine="90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可以配合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其它</w:t>
            </w:r>
            <w:r w:rsidRPr="00730996"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730996" w:rsidRPr="00717E53" w14:paraId="3264B6B8" w14:textId="77777777" w:rsidTr="00730996">
        <w:trPr>
          <w:trHeight w:val="397"/>
        </w:trPr>
        <w:tc>
          <w:tcPr>
            <w:tcW w:w="2851" w:type="dxa"/>
            <w:vMerge w:val="restart"/>
            <w:vAlign w:val="center"/>
          </w:tcPr>
          <w:p w14:paraId="1D248A71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开机率</w:t>
            </w:r>
          </w:p>
        </w:tc>
        <w:tc>
          <w:tcPr>
            <w:tcW w:w="8562" w:type="dxa"/>
            <w:gridSpan w:val="2"/>
            <w:vAlign w:val="center"/>
          </w:tcPr>
          <w:p w14:paraId="2DA87386" w14:textId="7B8DE66B" w:rsidR="00730996" w:rsidRPr="00730996" w:rsidRDefault="000B1950" w:rsidP="00730996">
            <w:pPr>
              <w:ind w:firstLineChars="500" w:firstLine="904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0B195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★</w:t>
            </w:r>
            <w:r w:rsidR="00730996"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维保期内保证设备开机率在95%以上（按照365天核算）。未能达到承诺开机率将扣除维保费用的10%作为设备</w:t>
            </w:r>
            <w:proofErr w:type="gramStart"/>
            <w:r w:rsidR="00730996"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宕</w:t>
            </w:r>
            <w:proofErr w:type="gramEnd"/>
            <w:r w:rsidR="00730996"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机的补偿。</w:t>
            </w:r>
          </w:p>
        </w:tc>
      </w:tr>
      <w:tr w:rsidR="00730996" w:rsidRPr="00717E53" w14:paraId="107D400E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4E2219BE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2" w:type="dxa"/>
            <w:gridSpan w:val="2"/>
            <w:vAlign w:val="center"/>
          </w:tcPr>
          <w:p w14:paraId="483E1375" w14:textId="72AC0778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可以承诺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其它</w:t>
            </w:r>
            <w:r w:rsidRPr="00730996"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730996" w:rsidRPr="00717E53" w14:paraId="0D58B272" w14:textId="77777777" w:rsidTr="00730996">
        <w:trPr>
          <w:trHeight w:val="397"/>
        </w:trPr>
        <w:tc>
          <w:tcPr>
            <w:tcW w:w="2851" w:type="dxa"/>
            <w:vMerge w:val="restart"/>
            <w:vAlign w:val="center"/>
          </w:tcPr>
          <w:p w14:paraId="5CC27EEB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业务终止约定</w:t>
            </w:r>
          </w:p>
        </w:tc>
        <w:tc>
          <w:tcPr>
            <w:tcW w:w="8562" w:type="dxa"/>
            <w:gridSpan w:val="2"/>
            <w:vAlign w:val="center"/>
          </w:tcPr>
          <w:p w14:paraId="2C8BE18D" w14:textId="0EEE2F63" w:rsidR="00730996" w:rsidRPr="000B1950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0B195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★如院方设备更新、停用，有权提出提前终止合同，以实际发生</w:t>
            </w:r>
            <w:proofErr w:type="gramStart"/>
            <w:r w:rsidRPr="000B195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维保时间</w:t>
            </w:r>
            <w:proofErr w:type="gramEnd"/>
            <w:r w:rsidRPr="000B195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多退少补方式终止合作。</w:t>
            </w:r>
          </w:p>
        </w:tc>
      </w:tr>
      <w:tr w:rsidR="00730996" w:rsidRPr="00717E53" w14:paraId="6689D4B4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1EC27930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2" w:type="dxa"/>
            <w:gridSpan w:val="2"/>
            <w:vAlign w:val="center"/>
          </w:tcPr>
          <w:p w14:paraId="25AFDBA3" w14:textId="77777777" w:rsidR="00730996" w:rsidRPr="00730996" w:rsidRDefault="00730996" w:rsidP="00730996">
            <w:pPr>
              <w:ind w:firstLineChars="1000" w:firstLine="1800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承诺认可该方式  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其它</w:t>
            </w:r>
            <w:r w:rsidRPr="00730996"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730996" w:rsidRPr="00717E53" w14:paraId="6045B639" w14:textId="77777777" w:rsidTr="00730996">
        <w:trPr>
          <w:trHeight w:val="397"/>
        </w:trPr>
        <w:tc>
          <w:tcPr>
            <w:tcW w:w="2851" w:type="dxa"/>
            <w:vMerge w:val="restart"/>
            <w:vAlign w:val="center"/>
          </w:tcPr>
          <w:p w14:paraId="50B1EB16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付款方式</w:t>
            </w:r>
          </w:p>
        </w:tc>
        <w:tc>
          <w:tcPr>
            <w:tcW w:w="8562" w:type="dxa"/>
            <w:gridSpan w:val="2"/>
            <w:vAlign w:val="center"/>
          </w:tcPr>
          <w:p w14:paraId="549481D5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对</w:t>
            </w:r>
            <w:proofErr w:type="gramStart"/>
            <w:r w:rsidRPr="00730996">
              <w:rPr>
                <w:rFonts w:ascii="宋体" w:eastAsia="宋体" w:hAnsi="宋体" w:hint="eastAsia"/>
                <w:sz w:val="18"/>
                <w:szCs w:val="18"/>
              </w:rPr>
              <w:t>维保合同</w:t>
            </w:r>
            <w:proofErr w:type="gramEnd"/>
            <w:r w:rsidRPr="00730996">
              <w:rPr>
                <w:rFonts w:ascii="宋体" w:eastAsia="宋体" w:hAnsi="宋体" w:hint="eastAsia"/>
                <w:sz w:val="18"/>
                <w:szCs w:val="18"/>
              </w:rPr>
              <w:t>的付款方式进行约定，包括付款批次，付款方式等。</w:t>
            </w:r>
          </w:p>
        </w:tc>
      </w:tr>
      <w:tr w:rsidR="00730996" w:rsidRPr="00717E53" w14:paraId="4A32E603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6D6C8D7C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5" w:type="dxa"/>
            <w:vAlign w:val="center"/>
          </w:tcPr>
          <w:p w14:paraId="787CB3A6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付款方式</w:t>
            </w:r>
          </w:p>
        </w:tc>
        <w:tc>
          <w:tcPr>
            <w:tcW w:w="5327" w:type="dxa"/>
            <w:vAlign w:val="center"/>
          </w:tcPr>
          <w:p w14:paraId="6304CCD5" w14:textId="0DCDA10B" w:rsidR="00730996" w:rsidRPr="000B1950" w:rsidRDefault="000B1950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0B195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★</w:t>
            </w:r>
            <w:r w:rsidR="00730996" w:rsidRPr="000B195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先服务后付款</w:t>
            </w:r>
          </w:p>
        </w:tc>
      </w:tr>
      <w:tr w:rsidR="00730996" w:rsidRPr="00717E53" w14:paraId="57B18D08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1DAEEABE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235" w:type="dxa"/>
            <w:vAlign w:val="center"/>
          </w:tcPr>
          <w:p w14:paraId="5A7032D8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付款周期</w:t>
            </w:r>
          </w:p>
        </w:tc>
        <w:tc>
          <w:tcPr>
            <w:tcW w:w="5327" w:type="dxa"/>
            <w:vAlign w:val="center"/>
          </w:tcPr>
          <w:p w14:paraId="1D5B6EAC" w14:textId="77777777" w:rsidR="00730996" w:rsidRPr="00730996" w:rsidRDefault="00730996" w:rsidP="00730996">
            <w:pPr>
              <w:ind w:firstLineChars="250" w:firstLine="45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一年一付 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一年两付 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其它</w:t>
            </w:r>
            <w:r w:rsidRPr="00730996"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730996" w:rsidRPr="00717E53" w14:paraId="7B882A13" w14:textId="77777777" w:rsidTr="00730996">
        <w:trPr>
          <w:trHeight w:val="397"/>
        </w:trPr>
        <w:tc>
          <w:tcPr>
            <w:tcW w:w="2851" w:type="dxa"/>
            <w:vMerge w:val="restart"/>
            <w:vAlign w:val="center"/>
          </w:tcPr>
          <w:p w14:paraId="517C4FDC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争议问题说明</w:t>
            </w:r>
          </w:p>
        </w:tc>
        <w:tc>
          <w:tcPr>
            <w:tcW w:w="8562" w:type="dxa"/>
            <w:gridSpan w:val="2"/>
            <w:vAlign w:val="center"/>
          </w:tcPr>
          <w:p w14:paraId="2910909A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t>如产生争议，双方先进行协商，协商未果由乙方</w:t>
            </w:r>
            <w:proofErr w:type="gramStart"/>
            <w:r w:rsidRPr="00730996">
              <w:rPr>
                <w:rFonts w:ascii="宋体" w:eastAsia="宋体" w:hAnsi="宋体" w:hint="eastAsia"/>
                <w:sz w:val="18"/>
                <w:szCs w:val="18"/>
              </w:rPr>
              <w:t>向设备</w:t>
            </w:r>
            <w:proofErr w:type="gramEnd"/>
            <w:r w:rsidRPr="00730996">
              <w:rPr>
                <w:rFonts w:ascii="宋体" w:eastAsia="宋体" w:hAnsi="宋体" w:hint="eastAsia"/>
                <w:sz w:val="18"/>
                <w:szCs w:val="18"/>
              </w:rPr>
              <w:t>所在地人民法院提起诉讼。</w:t>
            </w:r>
          </w:p>
        </w:tc>
      </w:tr>
      <w:tr w:rsidR="00730996" w:rsidRPr="00717E53" w14:paraId="2562F312" w14:textId="77777777" w:rsidTr="00730996">
        <w:trPr>
          <w:trHeight w:val="397"/>
        </w:trPr>
        <w:tc>
          <w:tcPr>
            <w:tcW w:w="2851" w:type="dxa"/>
            <w:vMerge/>
            <w:vAlign w:val="center"/>
          </w:tcPr>
          <w:p w14:paraId="31C31BB5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2" w:type="dxa"/>
            <w:gridSpan w:val="2"/>
            <w:vAlign w:val="center"/>
          </w:tcPr>
          <w:p w14:paraId="250AAB86" w14:textId="77777777" w:rsidR="00730996" w:rsidRPr="00730996" w:rsidRDefault="00730996" w:rsidP="00730996">
            <w:pPr>
              <w:ind w:firstLineChars="1000" w:firstLine="180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认可  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/>
                <w:sz w:val="18"/>
                <w:szCs w:val="18"/>
              </w:rPr>
              <w:t xml:space="preserve">        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sym w:font="Wingdings" w:char="F0A8"/>
            </w:r>
            <w:r w:rsidRPr="00730996">
              <w:rPr>
                <w:rFonts w:ascii="宋体" w:eastAsia="宋体" w:hAnsi="宋体" w:hint="eastAsia"/>
                <w:sz w:val="18"/>
                <w:szCs w:val="18"/>
              </w:rPr>
              <w:t>不认可</w:t>
            </w:r>
          </w:p>
        </w:tc>
      </w:tr>
      <w:tr w:rsidR="00730996" w:rsidRPr="00717E53" w14:paraId="4810CF9F" w14:textId="77777777" w:rsidTr="00730996">
        <w:trPr>
          <w:trHeight w:val="3696"/>
        </w:trPr>
        <w:tc>
          <w:tcPr>
            <w:tcW w:w="2851" w:type="dxa"/>
            <w:vAlign w:val="center"/>
          </w:tcPr>
          <w:p w14:paraId="6013C6A3" w14:textId="77777777" w:rsidR="00730996" w:rsidRPr="00730996" w:rsidRDefault="00730996" w:rsidP="00730996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8562" w:type="dxa"/>
            <w:gridSpan w:val="2"/>
          </w:tcPr>
          <w:p w14:paraId="0EF40A37" w14:textId="77777777" w:rsidR="00730996" w:rsidRDefault="00730996" w:rsidP="00730996">
            <w:pPr>
              <w:ind w:firstLineChars="200" w:firstLine="361"/>
              <w:jc w:val="left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每年度</w:t>
            </w:r>
            <w:proofErr w:type="gramStart"/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对维保方</w:t>
            </w:r>
            <w:proofErr w:type="gramEnd"/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进行满意度调查，使用科室及管理科室认为合同执行不合格有权</w:t>
            </w:r>
            <w:proofErr w:type="gramStart"/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要求维保提供</w:t>
            </w:r>
            <w:proofErr w:type="gramEnd"/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方整改后再行付款或进行罚款等处罚。</w:t>
            </w:r>
            <w:proofErr w:type="gramStart"/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维保方案</w:t>
            </w:r>
            <w:proofErr w:type="gramEnd"/>
            <w:r w:rsidRPr="00730996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如果和各公司提供纸质方案有出入，以此表格确认内容为准，最终解释权归天津医科大学总医院所有。</w:t>
            </w:r>
          </w:p>
          <w:p w14:paraId="71B857E5" w14:textId="4AA7D4FC" w:rsidR="00730996" w:rsidRPr="00730996" w:rsidRDefault="008921C0" w:rsidP="00730996">
            <w:pPr>
              <w:ind w:firstLineChars="200" w:firstLine="361"/>
              <w:jc w:val="left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0B1950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★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为实质性要求，不可负偏离。</w:t>
            </w:r>
          </w:p>
        </w:tc>
      </w:tr>
    </w:tbl>
    <w:p w14:paraId="1FD8FBC8" w14:textId="27D546F7" w:rsidR="00D30ACE" w:rsidRPr="00730996" w:rsidRDefault="00730996" w:rsidP="00716AFA">
      <w:pPr>
        <w:rPr>
          <w:rFonts w:ascii="宋体" w:eastAsia="宋体" w:hAnsi="宋体" w:hint="eastAsia"/>
          <w:sz w:val="18"/>
          <w:szCs w:val="18"/>
        </w:rPr>
      </w:pPr>
      <w:r w:rsidRPr="00730996">
        <w:rPr>
          <w:rFonts w:ascii="宋体" w:eastAsia="宋体" w:hAnsi="宋体"/>
          <w:sz w:val="18"/>
          <w:szCs w:val="18"/>
        </w:rPr>
        <w:t>其他</w:t>
      </w:r>
      <w:r>
        <w:rPr>
          <w:rFonts w:ascii="宋体" w:eastAsia="宋体" w:hAnsi="宋体" w:hint="eastAsia"/>
          <w:sz w:val="18"/>
          <w:szCs w:val="18"/>
        </w:rPr>
        <w:t>未尽</w:t>
      </w:r>
      <w:r w:rsidRPr="00730996">
        <w:rPr>
          <w:rFonts w:ascii="宋体" w:eastAsia="宋体" w:hAnsi="宋体"/>
          <w:sz w:val="18"/>
          <w:szCs w:val="18"/>
        </w:rPr>
        <w:t>事宜请一并写在备注内，或另附说明</w:t>
      </w:r>
    </w:p>
    <w:p w14:paraId="623FFDAC" w14:textId="16282DD2" w:rsidR="00D30ACE" w:rsidRPr="00730996" w:rsidRDefault="00D30ACE" w:rsidP="00F7498C">
      <w:pPr>
        <w:ind w:firstLineChars="400" w:firstLine="840"/>
        <w:rPr>
          <w:rFonts w:ascii="宋体" w:eastAsia="宋体" w:hAnsi="宋体" w:hint="eastAsia"/>
          <w:szCs w:val="21"/>
        </w:rPr>
      </w:pPr>
      <w:r w:rsidRPr="00730996">
        <w:rPr>
          <w:rFonts w:ascii="宋体" w:eastAsia="宋体" w:hAnsi="宋体" w:hint="eastAsia"/>
          <w:szCs w:val="21"/>
        </w:rPr>
        <w:t>公司</w:t>
      </w:r>
      <w:r w:rsidR="00F7498C" w:rsidRPr="00730996">
        <w:rPr>
          <w:rFonts w:ascii="宋体" w:eastAsia="宋体" w:hAnsi="宋体" w:hint="eastAsia"/>
          <w:szCs w:val="21"/>
        </w:rPr>
        <w:t>授权代表</w:t>
      </w:r>
      <w:r w:rsidRPr="00730996">
        <w:rPr>
          <w:rFonts w:ascii="宋体" w:eastAsia="宋体" w:hAnsi="宋体" w:hint="eastAsia"/>
          <w:szCs w:val="21"/>
        </w:rPr>
        <w:t>签字确认：</w:t>
      </w:r>
      <w:r w:rsidR="00F7498C" w:rsidRPr="00730996">
        <w:rPr>
          <w:rFonts w:ascii="宋体" w:eastAsia="宋体" w:hAnsi="宋体" w:hint="eastAsia"/>
          <w:szCs w:val="21"/>
        </w:rPr>
        <w:t xml:space="preserve">                                    公司盖章：</w:t>
      </w:r>
    </w:p>
    <w:sectPr w:rsidR="00D30ACE" w:rsidRPr="00730996" w:rsidSect="005F4F89">
      <w:pgSz w:w="11906" w:h="16838"/>
      <w:pgMar w:top="284" w:right="284" w:bottom="284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5897E" w14:textId="77777777" w:rsidR="00704041" w:rsidRDefault="00704041" w:rsidP="00E664F2">
      <w:pPr>
        <w:rPr>
          <w:rFonts w:hint="eastAsia"/>
        </w:rPr>
      </w:pPr>
      <w:r>
        <w:separator/>
      </w:r>
    </w:p>
  </w:endnote>
  <w:endnote w:type="continuationSeparator" w:id="0">
    <w:p w14:paraId="4BC333C1" w14:textId="77777777" w:rsidR="00704041" w:rsidRDefault="00704041" w:rsidP="00E664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09F0E" w14:textId="77777777" w:rsidR="00704041" w:rsidRDefault="00704041" w:rsidP="00E664F2">
      <w:pPr>
        <w:rPr>
          <w:rFonts w:hint="eastAsia"/>
        </w:rPr>
      </w:pPr>
      <w:r>
        <w:separator/>
      </w:r>
    </w:p>
  </w:footnote>
  <w:footnote w:type="continuationSeparator" w:id="0">
    <w:p w14:paraId="2156B01F" w14:textId="77777777" w:rsidR="00704041" w:rsidRDefault="00704041" w:rsidP="00E664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7F7"/>
    <w:rsid w:val="0002366B"/>
    <w:rsid w:val="00051288"/>
    <w:rsid w:val="000A0D85"/>
    <w:rsid w:val="000A4B83"/>
    <w:rsid w:val="000B1950"/>
    <w:rsid w:val="000B4DFD"/>
    <w:rsid w:val="000E3802"/>
    <w:rsid w:val="00124A0D"/>
    <w:rsid w:val="001977F0"/>
    <w:rsid w:val="002271DB"/>
    <w:rsid w:val="002411A5"/>
    <w:rsid w:val="00252382"/>
    <w:rsid w:val="00305CED"/>
    <w:rsid w:val="003A37F7"/>
    <w:rsid w:val="003F717A"/>
    <w:rsid w:val="0041592B"/>
    <w:rsid w:val="004B0827"/>
    <w:rsid w:val="004D25BC"/>
    <w:rsid w:val="00542121"/>
    <w:rsid w:val="005811E0"/>
    <w:rsid w:val="005C4B26"/>
    <w:rsid w:val="005C6327"/>
    <w:rsid w:val="005F4F89"/>
    <w:rsid w:val="006717C4"/>
    <w:rsid w:val="00690DB0"/>
    <w:rsid w:val="006C686E"/>
    <w:rsid w:val="00704041"/>
    <w:rsid w:val="00716AFA"/>
    <w:rsid w:val="00717E53"/>
    <w:rsid w:val="00730996"/>
    <w:rsid w:val="007335FB"/>
    <w:rsid w:val="00735A75"/>
    <w:rsid w:val="007B749B"/>
    <w:rsid w:val="00843F71"/>
    <w:rsid w:val="008921C0"/>
    <w:rsid w:val="008922BC"/>
    <w:rsid w:val="009676DE"/>
    <w:rsid w:val="009E20C4"/>
    <w:rsid w:val="00AC69B2"/>
    <w:rsid w:val="00AE731F"/>
    <w:rsid w:val="00B66380"/>
    <w:rsid w:val="00C0627D"/>
    <w:rsid w:val="00C1356A"/>
    <w:rsid w:val="00CB0F60"/>
    <w:rsid w:val="00CE61E3"/>
    <w:rsid w:val="00D30ACE"/>
    <w:rsid w:val="00DD113B"/>
    <w:rsid w:val="00E20719"/>
    <w:rsid w:val="00E664F2"/>
    <w:rsid w:val="00E6767E"/>
    <w:rsid w:val="00F5799F"/>
    <w:rsid w:val="00F7498C"/>
    <w:rsid w:val="00FD6155"/>
    <w:rsid w:val="00FF2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994AE"/>
  <w15:docId w15:val="{7206B7F4-6756-446F-894E-CE197FE7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6D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16A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716A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66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64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6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64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琦</dc:creator>
  <cp:lastModifiedBy>刘琦</cp:lastModifiedBy>
  <cp:revision>16</cp:revision>
  <cp:lastPrinted>2023-07-06T01:43:00Z</cp:lastPrinted>
  <dcterms:created xsi:type="dcterms:W3CDTF">2022-08-31T08:32:00Z</dcterms:created>
  <dcterms:modified xsi:type="dcterms:W3CDTF">2025-07-30T01:37:00Z</dcterms:modified>
</cp:coreProperties>
</file>